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V</w:t>
      </w:r>
    </w:p>
    <w:p>
      <w:pPr>
        <w:pStyle w:val="Body"/>
        <w:bidi w:val="0"/>
      </w:pPr>
    </w:p>
    <w:p>
      <w:pPr>
        <w:pStyle w:val="Body"/>
        <w:spacing w:line="360" w:lineRule="auto"/>
      </w:pPr>
      <w:r>
        <w:rPr>
          <w:rtl w:val="0"/>
        </w:rPr>
        <w:tab/>
        <w:t xml:space="preserve">Post eius mortem </w:t>
      </w:r>
      <w:r>
        <w:rPr>
          <w:b w:val="1"/>
          <w:bCs w:val="1"/>
          <w:rtl w:val="0"/>
          <w:lang w:val="en-US"/>
        </w:rPr>
        <w:t>nihilominus</w:t>
      </w:r>
      <w:r>
        <w:rPr>
          <w:rtl w:val="0"/>
          <w:lang w:val="en-US"/>
        </w:rPr>
        <w:t xml:space="preserve"> Helvetii id quod constituerant facere conantur, ut e finibus </w:t>
      </w:r>
      <w:r>
        <w:rPr>
          <w:b w:val="1"/>
          <w:bCs w:val="1"/>
          <w:rtl w:val="0"/>
          <w:lang w:val="en-US"/>
        </w:rPr>
        <w:t>suis</w:t>
      </w:r>
      <w:r>
        <w:rPr>
          <w:rtl w:val="0"/>
          <w:lang w:val="en-US"/>
        </w:rPr>
        <w:t xml:space="preserve"> exeant. Ubi iam </w:t>
      </w:r>
      <w:r>
        <w:rPr>
          <w:b w:val="1"/>
          <w:bCs w:val="1"/>
          <w:rtl w:val="0"/>
          <w:lang w:val="en-US"/>
        </w:rPr>
        <w:t>se</w:t>
      </w:r>
      <w:r>
        <w:rPr>
          <w:rtl w:val="0"/>
          <w:lang w:val="en-US"/>
        </w:rPr>
        <w:t xml:space="preserve"> ad eam rem paratos esse arbitrati sunt, oppida </w:t>
      </w:r>
      <w:r>
        <w:rPr>
          <w:b w:val="1"/>
          <w:bCs w:val="1"/>
          <w:rtl w:val="0"/>
          <w:lang w:val="en-US"/>
        </w:rPr>
        <w:t>sua</w:t>
      </w:r>
      <w:r>
        <w:rPr>
          <w:rtl w:val="0"/>
          <w:lang w:val="en-US"/>
        </w:rPr>
        <w:t xml:space="preserve"> omnia </w:t>
      </w:r>
      <w:r>
        <w:rPr>
          <w:b w:val="1"/>
          <w:bCs w:val="1"/>
          <w:rtl w:val="0"/>
          <w:lang w:val="en-US"/>
        </w:rPr>
        <w:t>numero</w:t>
      </w:r>
      <w:r>
        <w:rPr>
          <w:rtl w:val="0"/>
          <w:lang w:val="en-US"/>
        </w:rPr>
        <w:t xml:space="preserve"> ad duodecim, vicos ad </w:t>
      </w:r>
      <w:r>
        <w:rPr>
          <w:b w:val="1"/>
          <w:bCs w:val="1"/>
          <w:rtl w:val="0"/>
          <w:lang w:val="en-US"/>
        </w:rPr>
        <w:t>quadringentos</w:t>
      </w:r>
      <w:r>
        <w:rPr>
          <w:rtl w:val="0"/>
          <w:lang w:val="en-US"/>
        </w:rPr>
        <w:t xml:space="preserve"> incendunt, et reliqua privata aedificia incendunt.  frumentum omne, </w:t>
      </w:r>
      <w:r>
        <w:rPr>
          <w:b w:val="1"/>
          <w:bCs w:val="1"/>
          <w:rtl w:val="0"/>
          <w:lang w:val="en-US"/>
        </w:rPr>
        <w:t>praeterquam</w:t>
      </w:r>
      <w:r>
        <w:rPr>
          <w:rtl w:val="0"/>
          <w:lang w:val="en-US"/>
        </w:rPr>
        <w:t xml:space="preserve"> cum </w:t>
      </w:r>
      <w:r>
        <w:rPr>
          <w:i w:val="1"/>
          <w:iCs w:val="1"/>
          <w:rtl w:val="0"/>
          <w:lang w:val="en-US"/>
        </w:rPr>
        <w:t>se</w:t>
      </w:r>
      <w:r>
        <w:rPr>
          <w:rtl w:val="0"/>
          <w:lang w:val="en-US"/>
        </w:rPr>
        <w:t xml:space="preserve"> portabant, comburunt, ut domum reditionis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spe sublata paratiores ad omnia pericula </w:t>
      </w:r>
      <w:r>
        <w:rPr>
          <w:b w:val="1"/>
          <w:bCs w:val="1"/>
          <w:rtl w:val="0"/>
          <w:lang w:val="en-US"/>
        </w:rPr>
        <w:t>subeunda</w:t>
      </w:r>
      <w:r>
        <w:rPr>
          <w:rtl w:val="0"/>
          <w:lang w:val="en-US"/>
        </w:rPr>
        <w:t xml:space="preserve"> essent; molita cibaria trium mensum </w:t>
      </w:r>
      <w:r>
        <w:rPr>
          <w:i w:val="1"/>
          <w:iCs w:val="1"/>
          <w:rtl w:val="0"/>
          <w:lang w:val="en-US"/>
        </w:rPr>
        <w:t>sibi</w:t>
      </w:r>
      <w:r>
        <w:rPr>
          <w:rtl w:val="0"/>
          <w:lang w:val="en-US"/>
        </w:rPr>
        <w:t xml:space="preserve"> quemque domo efferre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iubent. Persuadent Rauracis et Tulingis et Latobicis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 finitimis </w:t>
      </w:r>
      <w:r>
        <w:rPr>
          <w:b w:val="1"/>
          <w:bCs w:val="1"/>
          <w:rtl w:val="0"/>
          <w:lang w:val="en-US"/>
        </w:rPr>
        <w:t>suis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uti</w:t>
      </w:r>
      <w:r>
        <w:rPr>
          <w:rtl w:val="0"/>
          <w:lang w:val="en-US"/>
        </w:rPr>
        <w:t xml:space="preserve">; oppidis </w:t>
      </w:r>
      <w:r>
        <w:rPr>
          <w:b w:val="1"/>
          <w:bCs w:val="1"/>
          <w:rtl w:val="0"/>
          <w:lang w:val="en-US"/>
        </w:rPr>
        <w:t>suis</w:t>
      </w:r>
      <w:r>
        <w:rPr>
          <w:rtl w:val="0"/>
          <w:lang w:val="en-US"/>
        </w:rPr>
        <w:t xml:space="preserve"> vicisque exustis, </w:t>
      </w:r>
      <w:r>
        <w:rPr>
          <w:b w:val="1"/>
          <w:bCs w:val="1"/>
          <w:rtl w:val="0"/>
          <w:lang w:val="en-US"/>
        </w:rPr>
        <w:t>una</w:t>
      </w:r>
      <w:r>
        <w:rPr>
          <w:rtl w:val="0"/>
          <w:lang w:val="en-US"/>
        </w:rPr>
        <w:t xml:space="preserve"> cum eis proficiscantur, et adsciscunt</w:t>
      </w:r>
      <w:r>
        <w:rPr>
          <w:rFonts w:ascii="Times New Roman" w:cs="Times New Roman" w:hAnsi="Times New Roman" w:eastAsia="Times New Roman"/>
          <w:vertAlign w:val="superscript"/>
        </w:rPr>
        <w:footnoteReference w:id="4"/>
      </w:r>
      <w:r>
        <w:rPr>
          <w:rtl w:val="0"/>
          <w:lang w:val="en-US"/>
        </w:rPr>
        <w:t xml:space="preserve"> </w:t>
      </w:r>
      <w:r>
        <w:rPr>
          <w:i w:val="1"/>
          <w:iCs w:val="1"/>
          <w:rtl w:val="0"/>
          <w:lang w:val="en-US"/>
        </w:rPr>
        <w:t>sibi</w:t>
      </w:r>
      <w:r>
        <w:rPr>
          <w:rtl w:val="0"/>
          <w:lang w:val="en-US"/>
        </w:rPr>
        <w:t xml:space="preserve"> Boios socios, qui trans Rhenum incoluerant. 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Res Grammatica</w:t>
      </w:r>
    </w:p>
    <w:tbl>
      <w:tblPr>
        <w:tblW w:w="5691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86"/>
        <w:gridCol w:w="826"/>
        <w:gridCol w:w="3179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6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 and Plural)</w:t>
            </w:r>
          </w:p>
        </w:tc>
        <w:tc>
          <w:tcPr>
            <w:tcW w:type="dxa" w:w="8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68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82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sui</w:t>
            </w:r>
          </w:p>
        </w:tc>
        <w:tc>
          <w:tcPr>
            <w:tcW w:type="dxa" w:w="31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of him/her/itself, of themselves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6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82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sibi</w:t>
            </w:r>
          </w:p>
        </w:tc>
        <w:tc>
          <w:tcPr>
            <w:tcW w:type="dxa" w:w="31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to/for him/her/itself, to/for themselves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6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82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se</w:t>
            </w:r>
          </w:p>
        </w:tc>
        <w:tc>
          <w:tcPr>
            <w:tcW w:type="dxa" w:w="31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himself, herself, itself, themselves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6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82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se</w:t>
            </w:r>
          </w:p>
        </w:tc>
        <w:tc>
          <w:tcPr>
            <w:tcW w:type="dxa" w:w="31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by/with/from/in himself, herself, itself, themselves</w:t>
            </w:r>
          </w:p>
        </w:tc>
      </w:tr>
    </w:tbl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nihilominus</w:t>
      </w:r>
      <w:r>
        <w:rPr>
          <w:rtl w:val="0"/>
          <w:lang w:val="en-US"/>
        </w:rPr>
        <w:t>: nonetheless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suus, -a, -um: </w:t>
      </w:r>
      <w:r>
        <w:rPr>
          <w:b w:val="0"/>
          <w:bCs w:val="0"/>
          <w:i w:val="1"/>
          <w:iCs w:val="1"/>
          <w:rtl w:val="0"/>
          <w:lang w:val="en-US"/>
        </w:rPr>
        <w:t>his/her/its own, their own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se: </w:t>
      </w:r>
      <w:r>
        <w:rPr>
          <w:b w:val="0"/>
          <w:bCs w:val="0"/>
          <w:i w:val="1"/>
          <w:iCs w:val="1"/>
          <w:rtl w:val="0"/>
          <w:lang w:val="en-US"/>
        </w:rPr>
        <w:t xml:space="preserve">subject of indirect speech,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>numero ad</w:t>
      </w:r>
      <w:r>
        <w:rPr>
          <w:b w:val="1"/>
          <w:bCs w:val="1"/>
          <w:i w:val="1"/>
          <w:iCs w:val="1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“</w:t>
      </w:r>
      <w:r>
        <w:rPr>
          <w:b w:val="0"/>
          <w:bCs w:val="0"/>
          <w:i w:val="0"/>
          <w:iCs w:val="0"/>
          <w:rtl w:val="0"/>
          <w:lang w:val="en-US"/>
        </w:rPr>
        <w:t>in number nearly up to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quadringentos: 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“</w:t>
      </w:r>
      <w:r>
        <w:rPr>
          <w:b w:val="0"/>
          <w:bCs w:val="0"/>
          <w:i w:val="0"/>
          <w:iCs w:val="0"/>
          <w:rtl w:val="0"/>
          <w:lang w:val="en-US"/>
        </w:rPr>
        <w:t>forty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0"/>
          <w:iCs w:val="0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praeterquam: 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“</w:t>
      </w:r>
      <w:r>
        <w:rPr>
          <w:b w:val="0"/>
          <w:bCs w:val="0"/>
          <w:i w:val="0"/>
          <w:iCs w:val="0"/>
          <w:rtl w:val="0"/>
          <w:lang w:val="en-US"/>
        </w:rPr>
        <w:t>beyond what</w:t>
      </w:r>
      <w:r>
        <w:rPr>
          <w:rFonts w:hAnsi="Helvetica" w:hint="default"/>
          <w:b w:val="0"/>
          <w:bCs w:val="0"/>
          <w:i w:val="0"/>
          <w:i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>ad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subeunda: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b w:val="0"/>
          <w:bCs w:val="0"/>
          <w:i w:val="1"/>
          <w:iCs w:val="1"/>
          <w:rtl w:val="0"/>
          <w:lang w:val="en-US"/>
        </w:rPr>
        <w:t>for undertaking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…”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uti: </w:t>
      </w:r>
      <w:r>
        <w:rPr>
          <w:b w:val="0"/>
          <w:bCs w:val="0"/>
          <w:i w:val="1"/>
          <w:iCs w:val="1"/>
          <w:rtl w:val="0"/>
          <w:lang w:val="en-US"/>
        </w:rPr>
        <w:t xml:space="preserve">remember, </w:t>
      </w:r>
      <w:r>
        <w:rPr>
          <w:b w:val="1"/>
          <w:bCs w:val="1"/>
          <w:rtl w:val="0"/>
          <w:lang w:val="en-US"/>
        </w:rPr>
        <w:t xml:space="preserve">utor </w:t>
      </w:r>
      <w:r>
        <w:rPr>
          <w:b w:val="0"/>
          <w:bCs w:val="0"/>
          <w:i w:val="1"/>
          <w:iCs w:val="1"/>
          <w:rtl w:val="0"/>
          <w:lang w:val="en-US"/>
        </w:rPr>
        <w:t>takes an ablative!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una: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together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0"/>
          <w:bCs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reditio, -nis, f.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 will take a direct object in the accusative (here, it takes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domum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)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domo efferre: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to bring from their home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 notion here is that each family household will prepare their own supplies of food independently; they get no government help. 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Raucis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Tulingis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Latobicis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these are all Gallic tribes that join with the Helvetii in their migration. 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adsciscunt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here, a good definition will be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to admit __________ (acc) as a __________ (acc)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 xml:space="preserve">” 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